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3A55A5B2" w:rsidR="00965082" w:rsidRPr="009E704E" w:rsidRDefault="00965082" w:rsidP="00787455">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86310B">
              <w:rPr>
                <w:rFonts w:ascii="Arial" w:hAnsi="Arial" w:cs="Arial"/>
                <w:b/>
                <w:sz w:val="22"/>
                <w:szCs w:val="24"/>
              </w:rPr>
              <w:t>3</w:t>
            </w:r>
            <w:r w:rsidRPr="009E704E">
              <w:rPr>
                <w:rFonts w:ascii="Arial" w:hAnsi="Arial" w:cs="Arial"/>
                <w:b/>
                <w:sz w:val="22"/>
                <w:szCs w:val="24"/>
              </w:rPr>
              <w:tab/>
            </w:r>
          </w:p>
          <w:p w14:paraId="7D0B3B6D" w14:textId="3FAE754E"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920A4">
              <w:rPr>
                <w:rFonts w:cs="Arial"/>
                <w:i w:val="0"/>
                <w:noProof w:val="0"/>
                <w:sz w:val="22"/>
                <w:szCs w:val="24"/>
              </w:rPr>
              <w:t>October</w:t>
            </w:r>
            <w:r w:rsidR="00FF7DE4" w:rsidRPr="00FF7DE4">
              <w:rPr>
                <w:rFonts w:cs="Arial"/>
                <w:i w:val="0"/>
                <w:noProof w:val="0"/>
                <w:sz w:val="22"/>
                <w:szCs w:val="24"/>
              </w:rPr>
              <w:t xml:space="preserve"> </w:t>
            </w:r>
            <w:r w:rsidR="00E920A4">
              <w:rPr>
                <w:rFonts w:cs="Arial"/>
                <w:i w:val="0"/>
                <w:noProof w:val="0"/>
                <w:sz w:val="22"/>
                <w:szCs w:val="24"/>
              </w:rPr>
              <w:t>26</w:t>
            </w:r>
            <w:r w:rsidR="00FF7DE4" w:rsidRPr="00FF7DE4">
              <w:rPr>
                <w:rFonts w:cs="Arial"/>
                <w:i w:val="0"/>
                <w:noProof w:val="0"/>
                <w:sz w:val="22"/>
                <w:szCs w:val="24"/>
              </w:rPr>
              <w:t xml:space="preserve">th – </w:t>
            </w:r>
            <w:r w:rsidR="00E920A4">
              <w:rPr>
                <w:rFonts w:cs="Arial"/>
                <w:i w:val="0"/>
                <w:noProof w:val="0"/>
                <w:sz w:val="22"/>
                <w:szCs w:val="24"/>
              </w:rPr>
              <w:t>November 13</w:t>
            </w:r>
            <w:r w:rsidR="00FF7DE4" w:rsidRPr="00FF7DE4">
              <w:rPr>
                <w:rFonts w:cs="Arial"/>
                <w:i w:val="0"/>
                <w:noProof w:val="0"/>
                <w:sz w:val="22"/>
                <w:szCs w:val="24"/>
              </w:rPr>
              <w:t>th, 2020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4C3CE9EC" w:rsidR="00016B6D" w:rsidRPr="00016B6D" w:rsidRDefault="00680C89" w:rsidP="00787455">
            <w:pPr>
              <w:tabs>
                <w:tab w:val="right" w:pos="10000"/>
              </w:tabs>
              <w:spacing w:after="0"/>
              <w:jc w:val="right"/>
              <w:rPr>
                <w:rFonts w:ascii="Arial" w:hAnsi="Arial" w:cs="Arial"/>
                <w:b/>
                <w:sz w:val="22"/>
                <w:szCs w:val="24"/>
              </w:rPr>
            </w:pPr>
            <w:r w:rsidRPr="00680C89">
              <w:rPr>
                <w:rFonts w:ascii="Arial" w:hAnsi="Arial" w:cs="Arial"/>
                <w:b/>
                <w:szCs w:val="22"/>
              </w:rPr>
              <w:t>R1-2008629</w:t>
            </w:r>
          </w:p>
        </w:tc>
      </w:tr>
    </w:tbl>
    <w:p w14:paraId="527E6D2D" w14:textId="77777777" w:rsidR="00965082" w:rsidRDefault="00965082" w:rsidP="00746535">
      <w:pPr>
        <w:tabs>
          <w:tab w:val="left" w:pos="1985"/>
        </w:tabs>
        <w:jc w:val="both"/>
        <w:rPr>
          <w:rFonts w:ascii="Arial" w:hAnsi="Arial"/>
          <w:b/>
          <w:sz w:val="22"/>
        </w:rPr>
      </w:pPr>
    </w:p>
    <w:p w14:paraId="0597369D" w14:textId="4C101C2E"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FF7DE4">
        <w:rPr>
          <w:rFonts w:ascii="Arial" w:hAnsi="Arial"/>
          <w:sz w:val="22"/>
        </w:rPr>
        <w:t>8.3</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19D11126" w:rsidR="00746535" w:rsidRPr="008E769D" w:rsidRDefault="00746535" w:rsidP="00746535">
      <w:pPr>
        <w:ind w:left="1988" w:hanging="1988"/>
        <w:rPr>
          <w:rFonts w:ascii="Arial" w:hAnsi="Arial"/>
          <w:sz w:val="22"/>
        </w:rPr>
      </w:pPr>
      <w:r w:rsidRPr="001730B9">
        <w:rPr>
          <w:rFonts w:ascii="Arial" w:hAnsi="Arial"/>
          <w:b/>
          <w:sz w:val="24"/>
        </w:rPr>
        <w:t>Title:</w:t>
      </w:r>
      <w:r w:rsidRPr="001730B9">
        <w:rPr>
          <w:rFonts w:ascii="Arial" w:hAnsi="Arial"/>
          <w:sz w:val="24"/>
        </w:rPr>
        <w:t xml:space="preserve"> </w:t>
      </w:r>
      <w:r w:rsidRPr="001730B9">
        <w:rPr>
          <w:rFonts w:ascii="Arial" w:hAnsi="Arial"/>
          <w:sz w:val="22"/>
        </w:rPr>
        <w:tab/>
      </w:r>
      <w:r w:rsidR="00EF655F" w:rsidRPr="001730B9">
        <w:rPr>
          <w:rFonts w:ascii="Arial" w:hAnsi="Arial"/>
          <w:sz w:val="22"/>
        </w:rPr>
        <w:t xml:space="preserve">Other coverage enhancement </w:t>
      </w:r>
      <w:r w:rsidR="001730B9" w:rsidRPr="001730B9">
        <w:rPr>
          <w:rFonts w:ascii="Arial" w:hAnsi="Arial"/>
          <w:sz w:val="22"/>
        </w:rPr>
        <w:t>aspects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5A9CBFB6" w14:textId="0835FC43" w:rsidR="00DF7EC9" w:rsidRDefault="00AE2330" w:rsidP="001730B9">
      <w:pPr>
        <w:jc w:val="both"/>
        <w:rPr>
          <w:lang w:eastAsia="zh-CN"/>
        </w:rPr>
      </w:pPr>
      <w:r>
        <w:t>In this contribution</w:t>
      </w:r>
      <w:r w:rsidR="00C77668">
        <w:t xml:space="preserve">, </w:t>
      </w:r>
      <w:r>
        <w:t xml:space="preserve">we shall discuss some </w:t>
      </w:r>
      <w:r w:rsidR="004C78C9">
        <w:t xml:space="preserve">other issues related to </w:t>
      </w:r>
      <w:r w:rsidR="002A7BEB">
        <w:t>NR coverage</w:t>
      </w:r>
      <w:r w:rsidR="0086706D">
        <w:t>.</w:t>
      </w:r>
      <w:r w:rsidR="001730B9">
        <w:t xml:space="preserve"> </w:t>
      </w:r>
      <w:proofErr w:type="gramStart"/>
      <w:r w:rsidR="001730B9">
        <w:t>In particular, we</w:t>
      </w:r>
      <w:proofErr w:type="gramEnd"/>
      <w:r w:rsidR="001730B9">
        <w:t xml:space="preserve"> discuss the coverage issues related to FR2 deployments. </w:t>
      </w:r>
      <w:bookmarkStart w:id="1" w:name="_Hlk23927392"/>
    </w:p>
    <w:p w14:paraId="722208A7" w14:textId="4694992E" w:rsidR="00EF40EB" w:rsidRPr="0051482D" w:rsidRDefault="00432F3D" w:rsidP="0051482D">
      <w:pPr>
        <w:pStyle w:val="Heading1"/>
        <w:rPr>
          <w:lang w:val="en-US"/>
        </w:rPr>
      </w:pPr>
      <w:r w:rsidRPr="0051482D">
        <w:rPr>
          <w:szCs w:val="36"/>
        </w:rPr>
        <w:t>C</w:t>
      </w:r>
      <w:r w:rsidR="00EF40EB" w:rsidRPr="0051482D">
        <w:rPr>
          <w:szCs w:val="36"/>
        </w:rPr>
        <w:t xml:space="preserve">overage issues </w:t>
      </w:r>
      <w:r w:rsidRPr="0051482D">
        <w:rPr>
          <w:szCs w:val="36"/>
        </w:rPr>
        <w:t>related to deployment considerations of FR2</w:t>
      </w:r>
    </w:p>
    <w:p w14:paraId="334DBCEF" w14:textId="207F803A" w:rsidR="002A1AE8" w:rsidRDefault="002A1AE8" w:rsidP="00EF40EB">
      <w:pPr>
        <w:rPr>
          <w:lang w:eastAsia="zh-CN"/>
        </w:rPr>
      </w:pPr>
      <w:r w:rsidRPr="002A1AE8">
        <w:rPr>
          <w:lang w:eastAsia="zh-CN"/>
        </w:rPr>
        <w:t xml:space="preserve">Deployment scenarios of 5G NR may affect the coverage of FR2 differently. Consider the dual connectivity (DC) scenario where MCG uses FR1 carrier(s) and SCG uses FR2 carrier(s). Since the RLC entities for MCG and SCG are separate and non-collocated, the RLC status reports </w:t>
      </w:r>
      <w:proofErr w:type="gramStart"/>
      <w:r w:rsidRPr="002A1AE8">
        <w:rPr>
          <w:lang w:eastAsia="zh-CN"/>
        </w:rPr>
        <w:t>have to</w:t>
      </w:r>
      <w:proofErr w:type="gramEnd"/>
      <w:r w:rsidRPr="002A1AE8">
        <w:rPr>
          <w:lang w:eastAsia="zh-CN"/>
        </w:rPr>
        <w:t xml:space="preserve"> be transmitted to respective serving gNB. Hence, the RLC status report for SCG </w:t>
      </w:r>
      <w:proofErr w:type="gramStart"/>
      <w:r w:rsidRPr="002A1AE8">
        <w:rPr>
          <w:lang w:eastAsia="zh-CN"/>
        </w:rPr>
        <w:t>has to</w:t>
      </w:r>
      <w:proofErr w:type="gramEnd"/>
      <w:r w:rsidRPr="002A1AE8">
        <w:rPr>
          <w:lang w:eastAsia="zh-CN"/>
        </w:rPr>
        <w:t xml:space="preserve"> be transmitted on FR2 uplink.  In FR2, the DL coverage (footprint) is larger than on UL, as shown in </w:t>
      </w:r>
      <w:r>
        <w:rPr>
          <w:lang w:eastAsia="zh-CN"/>
        </w:rPr>
        <w:fldChar w:fldCharType="begin"/>
      </w:r>
      <w:r>
        <w:rPr>
          <w:lang w:eastAsia="zh-CN"/>
        </w:rPr>
        <w:instrText xml:space="preserve"> REF _Ref40156334 \h </w:instrText>
      </w:r>
      <w:r>
        <w:rPr>
          <w:lang w:eastAsia="zh-CN"/>
        </w:rPr>
      </w:r>
      <w:r>
        <w:rPr>
          <w:lang w:eastAsia="zh-CN"/>
        </w:rPr>
        <w:fldChar w:fldCharType="separate"/>
      </w:r>
      <w:r w:rsidR="002E7D5E">
        <w:t xml:space="preserve">Figure </w:t>
      </w:r>
      <w:r w:rsidR="002E7D5E">
        <w:rPr>
          <w:noProof/>
        </w:rPr>
        <w:t>1</w:t>
      </w:r>
      <w:r>
        <w:rPr>
          <w:lang w:eastAsia="zh-CN"/>
        </w:rPr>
        <w:fldChar w:fldCharType="end"/>
      </w:r>
      <w:r w:rsidRPr="002A1AE8">
        <w:rPr>
          <w:lang w:eastAsia="zh-CN"/>
        </w:rPr>
        <w:t xml:space="preserve">. Therefore, in this DC scenario, the coverage of the FR2 link is limited by the UL FR2 coverage.  Note that this is not the case of carrier aggregation (CA) of FR1 carrier(s) and FR2 carrier(s). Since there is a common RLC entity for all carriers (same serving gNB), the RLC status reports could be transmitted on the FR1 carrier(s). This alleviates the FR2 UL coverage bottleneck for CA deployment.  </w:t>
      </w:r>
    </w:p>
    <w:p w14:paraId="106274FF" w14:textId="77777777" w:rsidR="002A1AE8" w:rsidRDefault="002A1AE8" w:rsidP="00EF40EB">
      <w:pPr>
        <w:rPr>
          <w:lang w:eastAsia="zh-CN"/>
        </w:rPr>
      </w:pPr>
    </w:p>
    <w:p w14:paraId="2666DBBC" w14:textId="398DDECC" w:rsidR="00EF40EB" w:rsidRDefault="00786ED0">
      <w:pPr>
        <w:rPr>
          <w:lang w:eastAsia="zh-CN"/>
        </w:rPr>
      </w:pPr>
      <w:r>
        <w:rPr>
          <w:noProof/>
          <w:lang w:eastAsia="zh-CN"/>
        </w:rPr>
        <w:drawing>
          <wp:inline distT="0" distB="0" distL="0" distR="0" wp14:anchorId="0E0882C7" wp14:editId="36BFD362">
            <wp:extent cx="6089904" cy="2862072"/>
            <wp:effectExtent l="0" t="0" r="635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9904" cy="2862072"/>
                    </a:xfrm>
                    <a:prstGeom prst="rect">
                      <a:avLst/>
                    </a:prstGeom>
                    <a:noFill/>
                  </pic:spPr>
                </pic:pic>
              </a:graphicData>
            </a:graphic>
          </wp:inline>
        </w:drawing>
      </w:r>
    </w:p>
    <w:p w14:paraId="530875F7" w14:textId="1B31C965" w:rsidR="00EF40EB" w:rsidRDefault="00EF40EB" w:rsidP="001E018D">
      <w:pPr>
        <w:pStyle w:val="Caption"/>
        <w:jc w:val="center"/>
        <w:rPr>
          <w:lang w:eastAsia="zh-CN"/>
        </w:rPr>
      </w:pPr>
      <w:bookmarkStart w:id="2" w:name="_Ref40156334"/>
      <w:r>
        <w:t xml:space="preserve">Figure </w:t>
      </w:r>
      <w:r>
        <w:fldChar w:fldCharType="begin"/>
      </w:r>
      <w:r>
        <w:instrText xml:space="preserve"> SEQ Figure \* ARABIC </w:instrText>
      </w:r>
      <w:r>
        <w:fldChar w:fldCharType="separate"/>
      </w:r>
      <w:r w:rsidR="002E7D5E">
        <w:rPr>
          <w:noProof/>
        </w:rPr>
        <w:t>1</w:t>
      </w:r>
      <w:r>
        <w:fldChar w:fldCharType="end"/>
      </w:r>
      <w:bookmarkEnd w:id="2"/>
      <w:r>
        <w:t>. Coverage of dual connectivity vs carrier aggregation</w:t>
      </w:r>
    </w:p>
    <w:p w14:paraId="727CC9B4" w14:textId="77777777" w:rsidR="002A1AE8" w:rsidRDefault="002A1AE8" w:rsidP="00FF76A2">
      <w:pPr>
        <w:rPr>
          <w:b/>
          <w:bCs/>
          <w:i/>
          <w:iCs/>
          <w:lang w:val="en-GB"/>
        </w:rPr>
      </w:pPr>
    </w:p>
    <w:p w14:paraId="30E68C7A" w14:textId="7C70BCDC" w:rsidR="00FF76A2" w:rsidRDefault="00B2663F" w:rsidP="00FF76A2">
      <w:pPr>
        <w:rPr>
          <w:lang w:val="en-GB"/>
        </w:rPr>
      </w:pPr>
      <w:r>
        <w:rPr>
          <w:b/>
          <w:bCs/>
          <w:i/>
          <w:iCs/>
          <w:lang w:val="en-GB"/>
        </w:rPr>
        <w:t xml:space="preserve"> </w:t>
      </w:r>
      <w:r>
        <w:rPr>
          <w:lang w:val="en-GB"/>
        </w:rPr>
        <w:t xml:space="preserve">A typical comparison of link budget between DC and CA, depending on the </w:t>
      </w:r>
      <w:r w:rsidR="00425E91">
        <w:rPr>
          <w:lang w:val="en-GB"/>
        </w:rPr>
        <w:t>RLC error rate</w:t>
      </w:r>
      <w:r>
        <w:rPr>
          <w:lang w:val="en-GB"/>
        </w:rPr>
        <w:t xml:space="preserve">, is shown in </w:t>
      </w:r>
      <w:r w:rsidR="0040135D">
        <w:rPr>
          <w:lang w:val="en-GB"/>
        </w:rPr>
        <w:fldChar w:fldCharType="begin"/>
      </w:r>
      <w:r w:rsidR="0040135D">
        <w:rPr>
          <w:lang w:val="en-GB"/>
        </w:rPr>
        <w:instrText xml:space="preserve"> REF _Ref40434194 \h </w:instrText>
      </w:r>
      <w:r w:rsidR="0040135D">
        <w:rPr>
          <w:lang w:val="en-GB"/>
        </w:rPr>
      </w:r>
      <w:r w:rsidR="0040135D">
        <w:rPr>
          <w:lang w:val="en-GB"/>
        </w:rPr>
        <w:fldChar w:fldCharType="separate"/>
      </w:r>
      <w:r w:rsidR="002E7D5E">
        <w:t xml:space="preserve">Figure </w:t>
      </w:r>
      <w:r w:rsidR="002E7D5E">
        <w:rPr>
          <w:noProof/>
        </w:rPr>
        <w:t>2</w:t>
      </w:r>
      <w:r w:rsidR="0040135D">
        <w:rPr>
          <w:lang w:val="en-GB"/>
        </w:rPr>
        <w:fldChar w:fldCharType="end"/>
      </w:r>
      <w:r>
        <w:rPr>
          <w:lang w:val="en-GB"/>
        </w:rPr>
        <w:t xml:space="preserve">. As </w:t>
      </w:r>
      <w:r w:rsidR="00425E91" w:rsidRPr="00425E91">
        <w:rPr>
          <w:lang w:val="en-GB"/>
        </w:rPr>
        <w:t>can be seen from</w:t>
      </w:r>
      <w:r w:rsidR="0040135D">
        <w:rPr>
          <w:lang w:val="en-GB"/>
        </w:rPr>
        <w:t xml:space="preserve"> the figure</w:t>
      </w:r>
      <w:r>
        <w:rPr>
          <w:lang w:val="en-GB"/>
        </w:rPr>
        <w:t xml:space="preserve">, the link budget loss of </w:t>
      </w:r>
      <w:r w:rsidR="00425E91" w:rsidRPr="00425E91">
        <w:rPr>
          <w:lang w:val="en-GB"/>
        </w:rPr>
        <w:t>the DC compared to CA (with the reference MCL value of 116 dB)</w:t>
      </w:r>
      <w:r>
        <w:rPr>
          <w:lang w:val="en-GB"/>
        </w:rPr>
        <w:t xml:space="preserve"> due to RLC report</w:t>
      </w:r>
      <w:r w:rsidR="00425E91" w:rsidRPr="00425E91">
        <w:rPr>
          <w:lang w:val="en-GB"/>
        </w:rPr>
        <w:t xml:space="preserve"> transmission path</w:t>
      </w:r>
      <w:r>
        <w:rPr>
          <w:lang w:val="en-GB"/>
        </w:rPr>
        <w:t xml:space="preserve">, can be a few </w:t>
      </w:r>
      <w:proofErr w:type="spellStart"/>
      <w:r>
        <w:rPr>
          <w:lang w:val="en-GB"/>
        </w:rPr>
        <w:t>dBs.</w:t>
      </w:r>
      <w:proofErr w:type="spellEnd"/>
    </w:p>
    <w:p w14:paraId="353D65C5" w14:textId="707B5DE1" w:rsidR="00B2663F" w:rsidRDefault="00425E91" w:rsidP="00B2663F">
      <w:pPr>
        <w:jc w:val="center"/>
        <w:rPr>
          <w:lang w:val="en-GB"/>
        </w:rPr>
      </w:pPr>
      <w:r>
        <w:rPr>
          <w:noProof/>
          <w:lang w:val="en-GB"/>
        </w:rPr>
        <w:lastRenderedPageBreak/>
        <w:drawing>
          <wp:inline distT="0" distB="0" distL="0" distR="0" wp14:anchorId="7D5FF935" wp14:editId="6A9AE3A0">
            <wp:extent cx="5568815" cy="3562184"/>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1727" cy="3589634"/>
                    </a:xfrm>
                    <a:prstGeom prst="rect">
                      <a:avLst/>
                    </a:prstGeom>
                    <a:noFill/>
                  </pic:spPr>
                </pic:pic>
              </a:graphicData>
            </a:graphic>
          </wp:inline>
        </w:drawing>
      </w:r>
    </w:p>
    <w:p w14:paraId="46AEEC8B" w14:textId="1D302F9A" w:rsidR="00B2663F" w:rsidRDefault="00B2663F" w:rsidP="001E018D">
      <w:pPr>
        <w:pStyle w:val="Caption"/>
        <w:jc w:val="center"/>
      </w:pPr>
      <w:bookmarkStart w:id="3" w:name="_Ref40434194"/>
      <w:bookmarkStart w:id="4" w:name="_Ref40434182"/>
      <w:r>
        <w:t xml:space="preserve">Figure </w:t>
      </w:r>
      <w:r>
        <w:fldChar w:fldCharType="begin"/>
      </w:r>
      <w:r>
        <w:instrText xml:space="preserve"> SEQ Figure \* ARABIC </w:instrText>
      </w:r>
      <w:r>
        <w:fldChar w:fldCharType="separate"/>
      </w:r>
      <w:r w:rsidR="002E7D5E">
        <w:rPr>
          <w:noProof/>
        </w:rPr>
        <w:t>2</w:t>
      </w:r>
      <w:r>
        <w:fldChar w:fldCharType="end"/>
      </w:r>
      <w:bookmarkEnd w:id="3"/>
      <w:r>
        <w:t xml:space="preserve">. Typical comparison of DL link budget between DC and CA, due to RLC report, depending on the </w:t>
      </w:r>
      <w:r w:rsidR="00277894">
        <w:t>RLC error rate</w:t>
      </w:r>
      <w:r>
        <w:t>.</w:t>
      </w:r>
      <w:bookmarkEnd w:id="4"/>
    </w:p>
    <w:p w14:paraId="610057ED" w14:textId="77777777" w:rsidR="00B2663F" w:rsidRPr="001E018D" w:rsidRDefault="00B2663F" w:rsidP="00FF76A2">
      <w:pPr>
        <w:rPr>
          <w:lang w:val="en-GB"/>
        </w:rPr>
      </w:pPr>
    </w:p>
    <w:p w14:paraId="4D345A98" w14:textId="238A65B1" w:rsidR="00FF76A2" w:rsidRPr="001E018D" w:rsidRDefault="00FF76A2" w:rsidP="00FF76A2">
      <w:pPr>
        <w:rPr>
          <w:b/>
          <w:lang w:val="en-GB"/>
        </w:rPr>
      </w:pPr>
      <w:r w:rsidRPr="001E018D">
        <w:rPr>
          <w:b/>
          <w:u w:val="single"/>
          <w:lang w:val="en-GB"/>
        </w:rPr>
        <w:t>Proposal</w:t>
      </w:r>
      <w:r w:rsidRPr="001E018D">
        <w:rPr>
          <w:b/>
          <w:lang w:val="en-GB"/>
        </w:rPr>
        <w:t xml:space="preserve">: Different deployment modes of FR2 and their specific coverage issues should be investigated. </w:t>
      </w:r>
    </w:p>
    <w:p w14:paraId="7D02BB27" w14:textId="77777777" w:rsidR="006E306A" w:rsidRDefault="006E306A" w:rsidP="006E306A">
      <w:pPr>
        <w:pStyle w:val="Heading1"/>
        <w:rPr>
          <w:lang w:val="en-US"/>
        </w:rPr>
      </w:pPr>
      <w:r w:rsidRPr="007B31BC">
        <w:rPr>
          <w:lang w:val="en-US"/>
        </w:rPr>
        <w:t xml:space="preserve">Conclusion </w:t>
      </w:r>
    </w:p>
    <w:p w14:paraId="303C775D" w14:textId="5B4D021B" w:rsidR="002D0FC1" w:rsidRDefault="00922D5D" w:rsidP="002D0FC1">
      <w:r>
        <w:t xml:space="preserve">This contribution discusses some </w:t>
      </w:r>
      <w:r w:rsidR="000D0E9B">
        <w:t xml:space="preserve">issues related </w:t>
      </w:r>
      <w:r w:rsidR="00FC40A0">
        <w:t xml:space="preserve">to the coverage of </w:t>
      </w:r>
      <w:r>
        <w:t xml:space="preserve">FR2. </w:t>
      </w:r>
      <w:proofErr w:type="gramStart"/>
      <w:r>
        <w:t>In particular, w</w:t>
      </w:r>
      <w:r w:rsidR="002D0FC1">
        <w:t>e</w:t>
      </w:r>
      <w:proofErr w:type="gramEnd"/>
      <w:r w:rsidR="002D0FC1">
        <w:t xml:space="preserve"> make the following proposal</w:t>
      </w:r>
      <w:r w:rsidR="00402097">
        <w:t xml:space="preserve"> on deployment considerations for FR2</w:t>
      </w:r>
      <w:r>
        <w:t>:</w:t>
      </w:r>
    </w:p>
    <w:p w14:paraId="7012AE25" w14:textId="2F5C1B14" w:rsidR="009111CA" w:rsidRPr="001730B9" w:rsidRDefault="00411D38" w:rsidP="001730B9">
      <w:pPr>
        <w:rPr>
          <w:b/>
          <w:bCs/>
          <w:lang w:val="en-GB"/>
        </w:rPr>
      </w:pPr>
      <w:r w:rsidRPr="001730B9">
        <w:rPr>
          <w:b/>
          <w:bCs/>
          <w:u w:val="single"/>
          <w:lang w:val="en-GB"/>
        </w:rPr>
        <w:t>Proposal</w:t>
      </w:r>
      <w:r w:rsidRPr="001E018D">
        <w:rPr>
          <w:b/>
          <w:bCs/>
          <w:lang w:val="en-GB"/>
        </w:rPr>
        <w:t>: Different deployment modes of FR2 and their specific coverage issues should be investigated.</w:t>
      </w:r>
      <w:bookmarkEnd w:id="1"/>
    </w:p>
    <w:sectPr w:rsidR="009111CA" w:rsidRPr="001730B9"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7544B" w14:textId="77777777" w:rsidR="00FF7DE4" w:rsidRDefault="00FF7DE4" w:rsidP="00746535">
      <w:pPr>
        <w:spacing w:after="0"/>
      </w:pPr>
      <w:r>
        <w:separator/>
      </w:r>
    </w:p>
  </w:endnote>
  <w:endnote w:type="continuationSeparator" w:id="0">
    <w:p w14:paraId="57CFFFBF" w14:textId="77777777" w:rsidR="00FF7DE4" w:rsidRDefault="00FF7DE4" w:rsidP="00746535">
      <w:pPr>
        <w:spacing w:after="0"/>
      </w:pPr>
      <w:r>
        <w:continuationSeparator/>
      </w:r>
    </w:p>
  </w:endnote>
  <w:endnote w:type="continuationNotice" w:id="1">
    <w:p w14:paraId="67D1EF0C" w14:textId="77777777" w:rsidR="00FF7DE4" w:rsidRDefault="00FF7D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95507" w14:textId="77777777" w:rsidR="00FF7DE4" w:rsidRDefault="00FF7DE4" w:rsidP="00746535">
      <w:pPr>
        <w:spacing w:after="0"/>
      </w:pPr>
      <w:r>
        <w:separator/>
      </w:r>
    </w:p>
  </w:footnote>
  <w:footnote w:type="continuationSeparator" w:id="0">
    <w:p w14:paraId="736BDE07" w14:textId="77777777" w:rsidR="00FF7DE4" w:rsidRDefault="00FF7DE4" w:rsidP="00746535">
      <w:pPr>
        <w:spacing w:after="0"/>
      </w:pPr>
      <w:r>
        <w:continuationSeparator/>
      </w:r>
    </w:p>
  </w:footnote>
  <w:footnote w:type="continuationNotice" w:id="1">
    <w:p w14:paraId="69A046BA" w14:textId="77777777" w:rsidR="00FF7DE4" w:rsidRDefault="00FF7D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3"/>
  </w:num>
  <w:num w:numId="3">
    <w:abstractNumId w:val="47"/>
  </w:num>
  <w:num w:numId="4">
    <w:abstractNumId w:val="34"/>
  </w:num>
  <w:num w:numId="5">
    <w:abstractNumId w:val="31"/>
  </w:num>
  <w:num w:numId="6">
    <w:abstractNumId w:val="5"/>
  </w:num>
  <w:num w:numId="7">
    <w:abstractNumId w:val="43"/>
  </w:num>
  <w:num w:numId="8">
    <w:abstractNumId w:val="29"/>
  </w:num>
  <w:num w:numId="9">
    <w:abstractNumId w:val="38"/>
  </w:num>
  <w:num w:numId="10">
    <w:abstractNumId w:val="32"/>
  </w:num>
  <w:num w:numId="11">
    <w:abstractNumId w:val="19"/>
  </w:num>
  <w:num w:numId="12">
    <w:abstractNumId w:val="2"/>
  </w:num>
  <w:num w:numId="13">
    <w:abstractNumId w:val="3"/>
  </w:num>
  <w:num w:numId="14">
    <w:abstractNumId w:val="41"/>
  </w:num>
  <w:num w:numId="15">
    <w:abstractNumId w:val="0"/>
  </w:num>
  <w:num w:numId="16">
    <w:abstractNumId w:val="35"/>
  </w:num>
  <w:num w:numId="17">
    <w:abstractNumId w:val="36"/>
  </w:num>
  <w:num w:numId="18">
    <w:abstractNumId w:val="44"/>
  </w:num>
  <w:num w:numId="19">
    <w:abstractNumId w:val="20"/>
  </w:num>
  <w:num w:numId="20">
    <w:abstractNumId w:val="30"/>
  </w:num>
  <w:num w:numId="21">
    <w:abstractNumId w:val="23"/>
  </w:num>
  <w:num w:numId="22">
    <w:abstractNumId w:val="22"/>
  </w:num>
  <w:num w:numId="23">
    <w:abstractNumId w:val="18"/>
  </w:num>
  <w:num w:numId="24">
    <w:abstractNumId w:val="9"/>
  </w:num>
  <w:num w:numId="25">
    <w:abstractNumId w:val="1"/>
  </w:num>
  <w:num w:numId="26">
    <w:abstractNumId w:val="15"/>
  </w:num>
  <w:num w:numId="27">
    <w:abstractNumId w:val="16"/>
  </w:num>
  <w:num w:numId="28">
    <w:abstractNumId w:val="6"/>
  </w:num>
  <w:num w:numId="29">
    <w:abstractNumId w:val="37"/>
  </w:num>
  <w:num w:numId="30">
    <w:abstractNumId w:val="13"/>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num>
  <w:num w:numId="34">
    <w:abstractNumId w:val="8"/>
  </w:num>
  <w:num w:numId="35">
    <w:abstractNumId w:val="26"/>
  </w:num>
  <w:num w:numId="36">
    <w:abstractNumId w:val="10"/>
  </w:num>
  <w:num w:numId="37">
    <w:abstractNumId w:val="21"/>
  </w:num>
  <w:num w:numId="38">
    <w:abstractNumId w:val="11"/>
  </w:num>
  <w:num w:numId="39">
    <w:abstractNumId w:val="27"/>
  </w:num>
  <w:num w:numId="40">
    <w:abstractNumId w:val="40"/>
  </w:num>
  <w:num w:numId="41">
    <w:abstractNumId w:val="1"/>
  </w:num>
  <w:num w:numId="42">
    <w:abstractNumId w:val="25"/>
  </w:num>
  <w:num w:numId="43">
    <w:abstractNumId w:val="14"/>
  </w:num>
  <w:num w:numId="44">
    <w:abstractNumId w:val="17"/>
  </w:num>
  <w:num w:numId="45">
    <w:abstractNumId w:val="39"/>
  </w:num>
  <w:num w:numId="46">
    <w:abstractNumId w:val="7"/>
  </w:num>
  <w:num w:numId="47">
    <w:abstractNumId w:val="28"/>
  </w:num>
  <w:num w:numId="48">
    <w:abstractNumId w:val="46"/>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205A3"/>
    <w:rsid w:val="000224D9"/>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376C"/>
    <w:rsid w:val="00090F2F"/>
    <w:rsid w:val="000937F9"/>
    <w:rsid w:val="000A7317"/>
    <w:rsid w:val="000B18AD"/>
    <w:rsid w:val="000B31DC"/>
    <w:rsid w:val="000B3C26"/>
    <w:rsid w:val="000C0803"/>
    <w:rsid w:val="000C16E0"/>
    <w:rsid w:val="000D0E9B"/>
    <w:rsid w:val="000D4892"/>
    <w:rsid w:val="000E349C"/>
    <w:rsid w:val="000E36EC"/>
    <w:rsid w:val="000E6249"/>
    <w:rsid w:val="000F0DB8"/>
    <w:rsid w:val="000F195F"/>
    <w:rsid w:val="000F1DB2"/>
    <w:rsid w:val="000F71D0"/>
    <w:rsid w:val="000F7C37"/>
    <w:rsid w:val="001005EE"/>
    <w:rsid w:val="00100C0C"/>
    <w:rsid w:val="001223F3"/>
    <w:rsid w:val="001317BD"/>
    <w:rsid w:val="001378EC"/>
    <w:rsid w:val="001379D9"/>
    <w:rsid w:val="00137F94"/>
    <w:rsid w:val="00142CE3"/>
    <w:rsid w:val="00144CEF"/>
    <w:rsid w:val="00147337"/>
    <w:rsid w:val="001515DF"/>
    <w:rsid w:val="0015502A"/>
    <w:rsid w:val="00157664"/>
    <w:rsid w:val="00165F2F"/>
    <w:rsid w:val="001673F8"/>
    <w:rsid w:val="00167A2A"/>
    <w:rsid w:val="001730B9"/>
    <w:rsid w:val="0017346B"/>
    <w:rsid w:val="00175632"/>
    <w:rsid w:val="00180764"/>
    <w:rsid w:val="001818AE"/>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1B5A"/>
    <w:rsid w:val="00260FB9"/>
    <w:rsid w:val="00261F02"/>
    <w:rsid w:val="00266BFD"/>
    <w:rsid w:val="00273C47"/>
    <w:rsid w:val="002764DD"/>
    <w:rsid w:val="00277894"/>
    <w:rsid w:val="00285D76"/>
    <w:rsid w:val="00292883"/>
    <w:rsid w:val="002A1AE8"/>
    <w:rsid w:val="002A3466"/>
    <w:rsid w:val="002A4E64"/>
    <w:rsid w:val="002A709C"/>
    <w:rsid w:val="002A7B15"/>
    <w:rsid w:val="002A7BEB"/>
    <w:rsid w:val="002B1AE2"/>
    <w:rsid w:val="002B386D"/>
    <w:rsid w:val="002B4CDB"/>
    <w:rsid w:val="002B53C5"/>
    <w:rsid w:val="002C0EB8"/>
    <w:rsid w:val="002C225D"/>
    <w:rsid w:val="002C291C"/>
    <w:rsid w:val="002C412C"/>
    <w:rsid w:val="002D0FC1"/>
    <w:rsid w:val="002D1318"/>
    <w:rsid w:val="002D5CC8"/>
    <w:rsid w:val="002D6267"/>
    <w:rsid w:val="002E1D16"/>
    <w:rsid w:val="002E2613"/>
    <w:rsid w:val="002E400F"/>
    <w:rsid w:val="002E5136"/>
    <w:rsid w:val="002E7CBA"/>
    <w:rsid w:val="002E7D5E"/>
    <w:rsid w:val="002F25DC"/>
    <w:rsid w:val="002F6FA0"/>
    <w:rsid w:val="002F6FEB"/>
    <w:rsid w:val="00311978"/>
    <w:rsid w:val="00312F38"/>
    <w:rsid w:val="003137D2"/>
    <w:rsid w:val="0031510A"/>
    <w:rsid w:val="00315B2E"/>
    <w:rsid w:val="00322F63"/>
    <w:rsid w:val="00324524"/>
    <w:rsid w:val="003270E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2264"/>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50D1"/>
    <w:rsid w:val="003D7590"/>
    <w:rsid w:val="003E0D33"/>
    <w:rsid w:val="003E5117"/>
    <w:rsid w:val="003E5865"/>
    <w:rsid w:val="003F1425"/>
    <w:rsid w:val="003F1515"/>
    <w:rsid w:val="003F214A"/>
    <w:rsid w:val="003F4864"/>
    <w:rsid w:val="003F6B18"/>
    <w:rsid w:val="0040135D"/>
    <w:rsid w:val="00402097"/>
    <w:rsid w:val="00410BAC"/>
    <w:rsid w:val="00410CCF"/>
    <w:rsid w:val="00411142"/>
    <w:rsid w:val="00411B27"/>
    <w:rsid w:val="00411D38"/>
    <w:rsid w:val="00413FB4"/>
    <w:rsid w:val="00421CD2"/>
    <w:rsid w:val="004230B8"/>
    <w:rsid w:val="0042541D"/>
    <w:rsid w:val="00425E91"/>
    <w:rsid w:val="004278C1"/>
    <w:rsid w:val="00431990"/>
    <w:rsid w:val="00432F3D"/>
    <w:rsid w:val="0043698B"/>
    <w:rsid w:val="00436A88"/>
    <w:rsid w:val="00437EB9"/>
    <w:rsid w:val="004502BA"/>
    <w:rsid w:val="00450D19"/>
    <w:rsid w:val="004526F4"/>
    <w:rsid w:val="00452A89"/>
    <w:rsid w:val="00454FD3"/>
    <w:rsid w:val="00462EDF"/>
    <w:rsid w:val="00467BE2"/>
    <w:rsid w:val="00470D8D"/>
    <w:rsid w:val="00472D75"/>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C78C9"/>
    <w:rsid w:val="004D10C9"/>
    <w:rsid w:val="004D1327"/>
    <w:rsid w:val="004D3CCB"/>
    <w:rsid w:val="004E67B2"/>
    <w:rsid w:val="004F295D"/>
    <w:rsid w:val="004F4610"/>
    <w:rsid w:val="004F7AED"/>
    <w:rsid w:val="0050049D"/>
    <w:rsid w:val="0050068C"/>
    <w:rsid w:val="00507411"/>
    <w:rsid w:val="0051275E"/>
    <w:rsid w:val="00512ADF"/>
    <w:rsid w:val="00513A3C"/>
    <w:rsid w:val="0051482D"/>
    <w:rsid w:val="005152A8"/>
    <w:rsid w:val="0051587D"/>
    <w:rsid w:val="005163CE"/>
    <w:rsid w:val="00520CB3"/>
    <w:rsid w:val="00521EE2"/>
    <w:rsid w:val="00524FA1"/>
    <w:rsid w:val="005251D2"/>
    <w:rsid w:val="00532421"/>
    <w:rsid w:val="00534813"/>
    <w:rsid w:val="00536F09"/>
    <w:rsid w:val="005415E2"/>
    <w:rsid w:val="00543BBD"/>
    <w:rsid w:val="005451D6"/>
    <w:rsid w:val="00551DF9"/>
    <w:rsid w:val="00553719"/>
    <w:rsid w:val="00554794"/>
    <w:rsid w:val="005551B3"/>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11CAE"/>
    <w:rsid w:val="006131D0"/>
    <w:rsid w:val="0061387D"/>
    <w:rsid w:val="006149E8"/>
    <w:rsid w:val="006156B4"/>
    <w:rsid w:val="006252CE"/>
    <w:rsid w:val="00627D12"/>
    <w:rsid w:val="00632510"/>
    <w:rsid w:val="00632BCF"/>
    <w:rsid w:val="00634C39"/>
    <w:rsid w:val="006350DD"/>
    <w:rsid w:val="0064208D"/>
    <w:rsid w:val="00645883"/>
    <w:rsid w:val="00657D73"/>
    <w:rsid w:val="00661D76"/>
    <w:rsid w:val="0066272D"/>
    <w:rsid w:val="0066276B"/>
    <w:rsid w:val="00663B30"/>
    <w:rsid w:val="0066409B"/>
    <w:rsid w:val="0066446C"/>
    <w:rsid w:val="00665BD7"/>
    <w:rsid w:val="00670C94"/>
    <w:rsid w:val="00671CDB"/>
    <w:rsid w:val="00674539"/>
    <w:rsid w:val="00674AB5"/>
    <w:rsid w:val="00675496"/>
    <w:rsid w:val="00680C89"/>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488F"/>
    <w:rsid w:val="00782900"/>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7B78"/>
    <w:rsid w:val="00812D90"/>
    <w:rsid w:val="00813DE7"/>
    <w:rsid w:val="00815B70"/>
    <w:rsid w:val="00815BEA"/>
    <w:rsid w:val="00815CB3"/>
    <w:rsid w:val="0082676D"/>
    <w:rsid w:val="00836027"/>
    <w:rsid w:val="00842018"/>
    <w:rsid w:val="0084769E"/>
    <w:rsid w:val="008505DD"/>
    <w:rsid w:val="008537ED"/>
    <w:rsid w:val="00857484"/>
    <w:rsid w:val="00857E3A"/>
    <w:rsid w:val="0086310B"/>
    <w:rsid w:val="0086706D"/>
    <w:rsid w:val="0087613F"/>
    <w:rsid w:val="00881889"/>
    <w:rsid w:val="00883EFD"/>
    <w:rsid w:val="00892410"/>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D39"/>
    <w:rsid w:val="00957DC7"/>
    <w:rsid w:val="00962883"/>
    <w:rsid w:val="00964AF1"/>
    <w:rsid w:val="00965082"/>
    <w:rsid w:val="00966B43"/>
    <w:rsid w:val="00966C7B"/>
    <w:rsid w:val="009761D3"/>
    <w:rsid w:val="009837DC"/>
    <w:rsid w:val="009857A9"/>
    <w:rsid w:val="009909BF"/>
    <w:rsid w:val="00994513"/>
    <w:rsid w:val="009963A5"/>
    <w:rsid w:val="009A193B"/>
    <w:rsid w:val="009A3F88"/>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20F64"/>
    <w:rsid w:val="00A23567"/>
    <w:rsid w:val="00A23FDB"/>
    <w:rsid w:val="00A27775"/>
    <w:rsid w:val="00A344AD"/>
    <w:rsid w:val="00A4372A"/>
    <w:rsid w:val="00A446C6"/>
    <w:rsid w:val="00A44A71"/>
    <w:rsid w:val="00A4521A"/>
    <w:rsid w:val="00A51892"/>
    <w:rsid w:val="00A56FA8"/>
    <w:rsid w:val="00A57F09"/>
    <w:rsid w:val="00A62D7B"/>
    <w:rsid w:val="00A62DC0"/>
    <w:rsid w:val="00A65AD5"/>
    <w:rsid w:val="00A65C2E"/>
    <w:rsid w:val="00A65FDA"/>
    <w:rsid w:val="00A679F1"/>
    <w:rsid w:val="00A70CC8"/>
    <w:rsid w:val="00A70E3A"/>
    <w:rsid w:val="00A71E21"/>
    <w:rsid w:val="00A77632"/>
    <w:rsid w:val="00A77681"/>
    <w:rsid w:val="00A87C2B"/>
    <w:rsid w:val="00A91472"/>
    <w:rsid w:val="00A92E69"/>
    <w:rsid w:val="00A93898"/>
    <w:rsid w:val="00A93F78"/>
    <w:rsid w:val="00A947B4"/>
    <w:rsid w:val="00A95086"/>
    <w:rsid w:val="00A97F1A"/>
    <w:rsid w:val="00AB00FB"/>
    <w:rsid w:val="00AC21FC"/>
    <w:rsid w:val="00AC7489"/>
    <w:rsid w:val="00AC7713"/>
    <w:rsid w:val="00AD22BE"/>
    <w:rsid w:val="00AD4509"/>
    <w:rsid w:val="00AE20E0"/>
    <w:rsid w:val="00AE2330"/>
    <w:rsid w:val="00AE2AB7"/>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56967"/>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02F"/>
    <w:rsid w:val="00DD4550"/>
    <w:rsid w:val="00DD69FD"/>
    <w:rsid w:val="00DE2926"/>
    <w:rsid w:val="00DE41D6"/>
    <w:rsid w:val="00DE4DB3"/>
    <w:rsid w:val="00DE5848"/>
    <w:rsid w:val="00DE7126"/>
    <w:rsid w:val="00DF2DE0"/>
    <w:rsid w:val="00DF6488"/>
    <w:rsid w:val="00DF64F5"/>
    <w:rsid w:val="00DF6E70"/>
    <w:rsid w:val="00DF7EC9"/>
    <w:rsid w:val="00E01FF8"/>
    <w:rsid w:val="00E032B0"/>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806D9"/>
    <w:rsid w:val="00E905B7"/>
    <w:rsid w:val="00E920A4"/>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EF655F"/>
    <w:rsid w:val="00F007E2"/>
    <w:rsid w:val="00F03D12"/>
    <w:rsid w:val="00F03FDF"/>
    <w:rsid w:val="00F04F6C"/>
    <w:rsid w:val="00F06A66"/>
    <w:rsid w:val="00F07053"/>
    <w:rsid w:val="00F11521"/>
    <w:rsid w:val="00F157E2"/>
    <w:rsid w:val="00F15D3A"/>
    <w:rsid w:val="00F173D0"/>
    <w:rsid w:val="00F175B8"/>
    <w:rsid w:val="00F22190"/>
    <w:rsid w:val="00F2284D"/>
    <w:rsid w:val="00F253D2"/>
    <w:rsid w:val="00F2661C"/>
    <w:rsid w:val="00F27595"/>
    <w:rsid w:val="00F27A6C"/>
    <w:rsid w:val="00F340E0"/>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0A0"/>
    <w:rsid w:val="00FC4F8E"/>
    <w:rsid w:val="00FC6489"/>
    <w:rsid w:val="00FC7C42"/>
    <w:rsid w:val="00FD672A"/>
    <w:rsid w:val="00FE3E75"/>
    <w:rsid w:val="00FE6439"/>
    <w:rsid w:val="00FE67E5"/>
    <w:rsid w:val="00FF1206"/>
    <w:rsid w:val="00FF3819"/>
    <w:rsid w:val="00FF57FD"/>
    <w:rsid w:val="00FF6336"/>
    <w:rsid w:val="00FF76A2"/>
    <w:rsid w:val="00FF7DE4"/>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2020-10-16T23:45:00Z</dcterms:created>
  <dcterms:modified xsi:type="dcterms:W3CDTF">2020-10-16T23:45:00Z</dcterms:modified>
</cp:coreProperties>
</file>